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3F" w:rsidRPr="00C5193F" w:rsidRDefault="00C5193F" w:rsidP="00C5193F">
      <w:pPr>
        <w:widowControl w:val="0"/>
        <w:spacing w:after="0" w:line="240" w:lineRule="auto"/>
        <w:ind w:right="-185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b/>
          <w:color w:val="000000"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5193F" w:rsidRPr="00C5193F" w:rsidRDefault="00C5193F" w:rsidP="00C5193F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Courier New" w:hAnsi="Times New Roman" w:cs="Courier New"/>
          <w:b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                                                                             </w:t>
      </w:r>
      <w:r w:rsidRPr="00C5193F">
        <w:rPr>
          <w:rFonts w:ascii="Times New Roman" w:eastAsia="Courier New" w:hAnsi="Times New Roman" w:cs="Courier New"/>
          <w:b/>
          <w:color w:val="000000"/>
          <w:sz w:val="24"/>
          <w:szCs w:val="24"/>
        </w:rPr>
        <w:t xml:space="preserve">РЕШЕНИЕ </w:t>
      </w:r>
    </w:p>
    <w:p w:rsidR="00C5193F" w:rsidRPr="00C5193F" w:rsidRDefault="00C5193F" w:rsidP="00C5193F">
      <w:pPr>
        <w:widowControl w:val="0"/>
        <w:spacing w:after="160" w:line="256" w:lineRule="auto"/>
        <w:ind w:right="-185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</w:pP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t xml:space="preserve">        «</w:t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  <w:t xml:space="preserve">___» </w:t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  <w:t>___________ 2023 года                                                                                      № 00</w:t>
      </w:r>
    </w:p>
    <w:p w:rsidR="00C5193F" w:rsidRDefault="00C5193F" w:rsidP="00C519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3F" w:rsidRDefault="00C5193F" w:rsidP="00C519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отчете Главы Сергеевского сельского поселения о работе администрации Сергеевск</w:t>
      </w:r>
      <w:r>
        <w:rPr>
          <w:rFonts w:ascii="Times New Roman" w:hAnsi="Times New Roman" w:cs="Times New Roman"/>
          <w:b/>
          <w:sz w:val="24"/>
          <w:szCs w:val="24"/>
        </w:rPr>
        <w:t>ого сельского поселения за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93F" w:rsidRDefault="00C5193F" w:rsidP="00C519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3F" w:rsidRDefault="00C5193F" w:rsidP="00C519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3F" w:rsidRDefault="00C5193F" w:rsidP="00C51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EB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доклад Главы Сергеевского сельского поселения о работе администрации Сергеевс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за 2022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</w:p>
    <w:p w:rsidR="00C5193F" w:rsidRDefault="00C5193F" w:rsidP="00C51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C5193F" w:rsidRDefault="00C5193F" w:rsidP="00C519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отчет о работе администрации Сергеевс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за 2022</w:t>
      </w:r>
      <w:r>
        <w:rPr>
          <w:rFonts w:ascii="Times New Roman" w:hAnsi="Times New Roman" w:cs="Times New Roman"/>
          <w:sz w:val="24"/>
          <w:szCs w:val="24"/>
        </w:rPr>
        <w:t xml:space="preserve"> год к сведению</w:t>
      </w:r>
    </w:p>
    <w:p w:rsidR="00C5193F" w:rsidRDefault="00C5193F" w:rsidP="00C519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с Приложением.</w:t>
      </w:r>
    </w:p>
    <w:p w:rsidR="00C5193F" w:rsidRDefault="00C5193F" w:rsidP="00C51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93F" w:rsidRDefault="00C5193F" w:rsidP="00C51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193F" w:rsidRDefault="00C5193F" w:rsidP="00C519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193F" w:rsidRDefault="00C5193F" w:rsidP="00C5193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47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тчет Главы Сергеевского сельского поселения о </w:t>
      </w:r>
      <w:r w:rsidRPr="00B47A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работе администрации Сергеевс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за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193F" w:rsidRDefault="00C5193F" w:rsidP="00C5193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5193F" w:rsidRPr="00C5193F" w:rsidRDefault="00C5193F" w:rsidP="00C51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>Председатель Совета депутатов Сергеевского сельского поселения</w:t>
      </w:r>
    </w:p>
    <w:p w:rsidR="00C5193F" w:rsidRPr="00C5193F" w:rsidRDefault="00C5193F" w:rsidP="00C51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>Оконешниковского муниципального района Омской области</w:t>
      </w:r>
    </w:p>
    <w:p w:rsidR="00C5193F" w:rsidRPr="00C5193F" w:rsidRDefault="00C5193F" w:rsidP="00C51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Н.С. </w:t>
      </w:r>
      <w:proofErr w:type="spellStart"/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>Балабкина</w:t>
      </w:r>
      <w:proofErr w:type="spellEnd"/>
    </w:p>
    <w:p w:rsidR="00C5193F" w:rsidRPr="00C5193F" w:rsidRDefault="00C5193F" w:rsidP="00C51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C5193F" w:rsidRPr="00C5193F" w:rsidRDefault="00C5193F" w:rsidP="00C5193F">
      <w:pPr>
        <w:widowControl w:val="0"/>
        <w:spacing w:after="0" w:line="252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Глава Сергеевского сельского поселения </w:t>
      </w:r>
    </w:p>
    <w:p w:rsidR="00C5193F" w:rsidRPr="00C5193F" w:rsidRDefault="00C5193F" w:rsidP="00C5193F">
      <w:pPr>
        <w:widowControl w:val="0"/>
        <w:spacing w:after="0" w:line="252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Оконешниковского муниципального района Омской области </w:t>
      </w:r>
    </w:p>
    <w:p w:rsidR="00C5193F" w:rsidRPr="00C5193F" w:rsidRDefault="00C5193F" w:rsidP="00C51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>Н.П. Шевкопляс</w:t>
      </w:r>
    </w:p>
    <w:p w:rsidR="00C1125F" w:rsidRDefault="00C1125F"/>
    <w:p w:rsidR="00C5193F" w:rsidRDefault="00C5193F"/>
    <w:p w:rsidR="00C5193F" w:rsidRDefault="00C5193F"/>
    <w:p w:rsidR="00C5193F" w:rsidRDefault="00C5193F"/>
    <w:p w:rsidR="00C5193F" w:rsidRDefault="00C5193F"/>
    <w:p w:rsidR="00C5193F" w:rsidRDefault="00C5193F"/>
    <w:p w:rsidR="00C5193F" w:rsidRDefault="00C5193F"/>
    <w:p w:rsidR="00C5193F" w:rsidRDefault="00C5193F"/>
    <w:p w:rsidR="00C5193F" w:rsidRPr="00C5193F" w:rsidRDefault="00C5193F" w:rsidP="00C51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Приложение к решению</w:t>
      </w:r>
    </w:p>
    <w:p w:rsidR="00C5193F" w:rsidRPr="00C5193F" w:rsidRDefault="00C5193F" w:rsidP="00C51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Совета депутатов Сергеевского </w:t>
      </w:r>
    </w:p>
    <w:p w:rsidR="00C5193F" w:rsidRPr="00C5193F" w:rsidRDefault="00C5193F" w:rsidP="00C51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сельского поселения</w:t>
      </w:r>
    </w:p>
    <w:p w:rsidR="00C5193F" w:rsidRPr="00C5193F" w:rsidRDefault="00C5193F" w:rsidP="00C51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Оконешниковского </w:t>
      </w:r>
    </w:p>
    <w:p w:rsidR="00C5193F" w:rsidRPr="00C5193F" w:rsidRDefault="00C5193F" w:rsidP="00C5193F">
      <w:pPr>
        <w:spacing w:after="0" w:line="240" w:lineRule="auto"/>
        <w:ind w:left="419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муниципального района</w:t>
      </w:r>
    </w:p>
    <w:p w:rsidR="00C5193F" w:rsidRPr="00C5193F" w:rsidRDefault="00C5193F" w:rsidP="00C51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Омской области</w:t>
      </w:r>
    </w:p>
    <w:p w:rsidR="00C5193F" w:rsidRDefault="00C5193F" w:rsidP="00C5193F">
      <w:pPr>
        <w:jc w:val="right"/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                   от      декабря 2023 №</w:t>
      </w:r>
      <w:bookmarkStart w:id="0" w:name="_GoBack"/>
      <w:bookmarkEnd w:id="0"/>
    </w:p>
    <w:p w:rsidR="00C5193F" w:rsidRDefault="00C5193F" w:rsidP="00C5193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главы о деятельности администрации Сергеевского сельского селения и  исполнении бюджета за 2022 год.</w:t>
      </w:r>
    </w:p>
    <w:p w:rsidR="00C5193F" w:rsidRDefault="00C5193F" w:rsidP="00C519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Overlap w:val="never"/>
        <w:tblW w:w="11171" w:type="dxa"/>
        <w:tblInd w:w="-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1"/>
      </w:tblGrid>
      <w:tr w:rsidR="00C5193F" w:rsidTr="00C5193F">
        <w:tc>
          <w:tcPr>
            <w:tcW w:w="11171" w:type="dxa"/>
          </w:tcPr>
          <w:tbl>
            <w:tblPr>
              <w:tblOverlap w:val="never"/>
              <w:tblW w:w="10320" w:type="dxa"/>
              <w:tblLayout w:type="fixed"/>
              <w:tblLook w:val="01E0" w:firstRow="1" w:lastRow="1" w:firstColumn="1" w:lastColumn="1" w:noHBand="0" w:noVBand="0"/>
            </w:tblPr>
            <w:tblGrid>
              <w:gridCol w:w="10320"/>
            </w:tblGrid>
            <w:tr w:rsidR="00C5193F" w:rsidTr="00A1354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93F" w:rsidRDefault="00C5193F" w:rsidP="00A1354B">
                  <w:pPr>
                    <w:spacing w:line="0" w:lineRule="auto"/>
                    <w:jc w:val="both"/>
                  </w:pPr>
                </w:p>
              </w:tc>
            </w:tr>
          </w:tbl>
          <w:p w:rsidR="00C5193F" w:rsidRDefault="00C5193F" w:rsidP="00A1354B">
            <w:pPr>
              <w:rPr>
                <w:vanish/>
              </w:rPr>
            </w:pPr>
          </w:p>
          <w:tbl>
            <w:tblPr>
              <w:tblOverlap w:val="never"/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C5193F" w:rsidTr="00C5193F">
              <w:tc>
                <w:tcPr>
                  <w:tcW w:w="106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Доходная часть бюджета исполнена на 101,7  % к плану 2022 года и составила 7893405,71 рубль, расходная часть исполнена на 95 % к плану и составила 7717321,57 рублей.    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62873">
                    <w:rPr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поступил в сумме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253905,84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85,3 % к плану.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«Налоги на товары (работы, услуги), реализуемые на территории Российской Федерации» план –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933381,72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– 115,4 % к плану.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«Единый сельскохозяйственный налог » план –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895613,57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исполнение 100 % к плану.  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«Налоги на имущество физических лиц »  –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35949,67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исполнен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  115,9 % к плану.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«Земельный налог» - поступило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1269874,99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  105,8 % к плану. 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"Государственная пошлина" план 400,00 рублей исполнение 100%.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«Доходы от использования имущества, находящегося в государственной и муниципальной собственности, аренда » запланированы в сумме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321864,03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исполнены на 100 % 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Безвозмездные поступления:  «Безвозмездные поступления от других бюджетов бюджетной системы Российской Федерации» запланированы в размере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4182415,89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99,3 % к плану. </w:t>
                  </w:r>
                </w:p>
                <w:p w:rsidR="00C5193F" w:rsidRDefault="00C5193F" w:rsidP="00A135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 Утвержденный план по расходам в 2022 году составил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8110542,73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бщая сумма исполненных расходов Сергеевского сельского поселения составила </w:t>
                  </w:r>
                  <w:r w:rsidRPr="00D62873">
                    <w:rPr>
                      <w:color w:val="000000"/>
                      <w:sz w:val="28"/>
                      <w:szCs w:val="28"/>
                    </w:rPr>
                    <w:t>7717321,57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рублей. Расходы по разделам:</w:t>
                  </w:r>
                </w:p>
                <w:p w:rsidR="00C5193F" w:rsidRDefault="00C5193F" w:rsidP="00A135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 Раздел 0100 о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бщегосударственные вопросы: 2753055,48 рублей, или 98,9 % к плану. </w:t>
                  </w:r>
                  <w:proofErr w:type="gramStart"/>
                  <w:r w:rsidRPr="00BC55A7">
                    <w:rPr>
                      <w:color w:val="000000"/>
                      <w:sz w:val="28"/>
                      <w:szCs w:val="28"/>
                    </w:rPr>
                    <w:t>Раздел включил в себя основные затраты на содержание органов местного самоуправления в том числе оплата труда с начислениями 2026035,28 рублей; оплат услуг связи – 25840,67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рублей;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 коммунальные услуги– 29300,33 рубля; </w:t>
                  </w:r>
                  <w:r>
                    <w:rPr>
                      <w:color w:val="000000"/>
                      <w:sz w:val="28"/>
                      <w:szCs w:val="28"/>
                    </w:rPr>
                    <w:t>прочие работы и услуги, товары (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страхование ОСАГО, нотариальные услуги, канцелярские товары</w:t>
                  </w:r>
                  <w:r>
                    <w:rPr>
                      <w:color w:val="000000"/>
                      <w:sz w:val="28"/>
                      <w:szCs w:val="28"/>
                    </w:rPr>
                    <w:t>) -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 112206,96 рублей; оплата пеней, штрафов, загрязнение окружающей среды, членский взнос – 80296,27 рублей.</w:t>
                  </w:r>
                  <w:proofErr w:type="gramEnd"/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 Передача части полномочий на осуществление внутреннего муниципального контроля 1500,00 рублей. Оформление технических планов </w:t>
                  </w:r>
                  <w:proofErr w:type="gramStart"/>
                  <w:r w:rsidRPr="00BC55A7">
                    <w:rPr>
                      <w:color w:val="000000"/>
                      <w:sz w:val="28"/>
                      <w:szCs w:val="28"/>
                    </w:rPr>
                    <w:t>в отношение</w:t>
                  </w:r>
                  <w:proofErr w:type="gramEnd"/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 бесхозяйных газопроводов 172693,52 рублей.</w:t>
                  </w:r>
                  <w:r>
                    <w:t xml:space="preserve"> </w:t>
                  </w:r>
                  <w:r w:rsidRPr="00FA6D98">
                    <w:rPr>
                      <w:sz w:val="28"/>
                      <w:szCs w:val="28"/>
                    </w:rPr>
                    <w:t xml:space="preserve">Оформлено и поставлено на учет </w:t>
                  </w:r>
                  <w:r>
                    <w:rPr>
                      <w:sz w:val="28"/>
                      <w:szCs w:val="28"/>
                    </w:rPr>
                    <w:t xml:space="preserve"> как бесхозяйное имущество </w:t>
                  </w:r>
                  <w:r w:rsidRPr="00FA6D98">
                    <w:rPr>
                      <w:sz w:val="28"/>
                      <w:szCs w:val="28"/>
                    </w:rPr>
                    <w:t>7 га</w:t>
                  </w:r>
                  <w:r>
                    <w:rPr>
                      <w:sz w:val="28"/>
                      <w:szCs w:val="28"/>
                    </w:rPr>
                    <w:t>зо</w:t>
                  </w:r>
                  <w:r w:rsidRPr="00FA6D98">
                    <w:rPr>
                      <w:sz w:val="28"/>
                      <w:szCs w:val="28"/>
                    </w:rPr>
                    <w:t>проводов.</w:t>
                  </w:r>
                  <w:r>
                    <w:t xml:space="preserve"> </w:t>
                  </w:r>
                  <w:r w:rsidRPr="00BC55A7">
                    <w:rPr>
                      <w:sz w:val="28"/>
                      <w:szCs w:val="28"/>
                    </w:rPr>
                    <w:t xml:space="preserve">Приобретение лицензий на сопровождение программных продуктов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94280,00 рублей. Передача полномочий по ведению бухгалтерского учета - 210902,45 рублей.</w:t>
                  </w:r>
                </w:p>
                <w:p w:rsidR="00C5193F" w:rsidRPr="00BC55A7" w:rsidRDefault="00C5193F" w:rsidP="00A1354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5193F" w:rsidRPr="00BC55A7" w:rsidRDefault="00C5193F" w:rsidP="00A1354B">
                  <w:pPr>
                    <w:jc w:val="both"/>
                    <w:rPr>
                      <w:sz w:val="28"/>
                      <w:szCs w:val="28"/>
                    </w:rPr>
                  </w:pPr>
                  <w:r w:rsidRPr="00BC55A7">
                    <w:rPr>
                      <w:color w:val="000000"/>
                      <w:sz w:val="28"/>
                      <w:szCs w:val="28"/>
                    </w:rPr>
                    <w:t>2.Р</w:t>
                  </w:r>
                  <w:r>
                    <w:rPr>
                      <w:color w:val="000000"/>
                      <w:sz w:val="28"/>
                      <w:szCs w:val="28"/>
                    </w:rPr>
                    <w:t>аздел 0203 национальная оборона.  В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 отчетном году расходы на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содержание военно-учетного работника составили </w:t>
                  </w:r>
                  <w:r>
                    <w:rPr>
                      <w:color w:val="000000"/>
                      <w:sz w:val="28"/>
                      <w:szCs w:val="28"/>
                    </w:rPr>
                    <w:t>65673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,00 рубля, за счет средств Федерального бюджета денежные средства направлены на выплату заработной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платы.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3.Раздел 0309 "Национальная безопасность и правоохранительная деятельность" затраты составили 1000,00 рублей в том числе по передачи полномочий по решению вопросов местного значения на территории сельских поселений по организации и осуществлению мероприятий по территориальной и гражданской обороне 1000,00 рублей.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4.Раздел 0310 Обеспечение пожарной безопасности. Обслуживание пожарной сигнализации, опашка населенных пунктов 2 раза в год, комплектация пожарных щитов - 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60359,25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9600,00 рублей. 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5.Раздел 0405 Сельское хозяйство и рыболовство. Субсидия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гражданам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ведущим личное подсобное хозяйство (молоко) выплачена в сумме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88888,82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C5193F" w:rsidRDefault="00C5193F" w:rsidP="00A1354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6.Раздел 0409 Дорожное хозяйство. План по расходам на содержание дорожного фонда составил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3862425,43 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Расходы направлены на услуги по очистке дорог в зимний период,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грейдирование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 летний период, капитальный ремонт дороги ул. Советская, ул. Зеленая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>2464000</w:t>
                  </w:r>
                  <w:r>
                    <w:rPr>
                      <w:color w:val="000000"/>
                      <w:sz w:val="28"/>
                      <w:szCs w:val="28"/>
                    </w:rPr>
                    <w:t>,00 рублей.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7.Раздел 0412 Формирование и управление муниципальной собственности расходы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составили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51454,8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рублей. Проведено межевание 2 земельных участков. 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8.Раздел 0501 Жилищное хозяйство. В 2022г. оплачены взносы на капитальный ремонт в сумме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45057,96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 за 4 муниципальные квартиры в многоквартирном доме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оветская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8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с.Сергеевка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C5193F" w:rsidRDefault="00C5193F" w:rsidP="00A135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9.Раздел 0503 Благоустройство. По разделу благоустройство произведено расходов на общую сумму </w:t>
                  </w:r>
                  <w:r w:rsidRPr="00BC55A7">
                    <w:rPr>
                      <w:color w:val="000000"/>
                      <w:sz w:val="28"/>
                      <w:szCs w:val="28"/>
                    </w:rPr>
                    <w:t xml:space="preserve">915040,69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рублей. Уличное освещение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ергеевка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д.Ольховка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д.Волчино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д.Павловка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д.Кочковатое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. Произведена очистка и хлорирование  колодцев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олчино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д.Кочковатое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C5193F" w:rsidRDefault="00C5193F" w:rsidP="00A135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льховка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214C8">
                    <w:rPr>
                      <w:sz w:val="28"/>
                      <w:szCs w:val="28"/>
                    </w:rPr>
                    <w:t>произведен ремонт насоса с колодца питьевой водой, дополнительно   установлено 2 фонаря, спилен тополь создающий угрозу замыкания проводов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C5193F" w:rsidRDefault="00C5193F" w:rsidP="00A135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1214C8">
                    <w:rPr>
                      <w:color w:val="000000"/>
                      <w:sz w:val="28"/>
                      <w:szCs w:val="28"/>
                    </w:rPr>
                    <w:t>Д.Павловка</w:t>
                  </w:r>
                  <w:proofErr w:type="spellEnd"/>
                  <w:r w:rsidRPr="001214C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214C8">
                    <w:rPr>
                      <w:sz w:val="28"/>
                      <w:szCs w:val="28"/>
                    </w:rPr>
                    <w:t>в летний период выкошена трава возле клуба, побелен фасад и покрашены окна клуба. Установлен один дополнительный фонарь уличного освещения. Убраны сухие ветки вдоль улицы, брошенные после обрезки деревьев создающих угрозу замыкания проводов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C5193F" w:rsidRDefault="00C5193F" w:rsidP="00A135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Д.</w:t>
                  </w:r>
                  <w:proofErr w:type="gramStart"/>
                  <w:r>
                    <w:rPr>
                      <w:sz w:val="28"/>
                      <w:szCs w:val="28"/>
                    </w:rPr>
                    <w:t>Кочковатое</w:t>
                  </w:r>
                  <w:proofErr w:type="spellEnd"/>
                  <w:proofErr w:type="gramEnd"/>
                  <w:r>
                    <w:rPr>
                      <w:sz w:val="26"/>
                      <w:szCs w:val="26"/>
                    </w:rPr>
                    <w:t xml:space="preserve"> в </w:t>
                  </w:r>
                  <w:r w:rsidRPr="00E2170A">
                    <w:rPr>
                      <w:sz w:val="28"/>
                      <w:szCs w:val="28"/>
                    </w:rPr>
                    <w:t>летний период отремонтирован и побелен забор, покрашена детская площадка, выкошена трава вдоль дороги и прилегающей территории клуба, установлена новая остановка для школьников.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5193F" w:rsidRPr="00FA6D98" w:rsidRDefault="00C5193F" w:rsidP="00A1354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С.</w:t>
                  </w:r>
                  <w:r w:rsidRPr="00FA6D98">
                    <w:rPr>
                      <w:sz w:val="28"/>
                      <w:szCs w:val="28"/>
                    </w:rPr>
                    <w:t>Сергеевка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 перепаханы пустыри и брошенные огороды с сухой растительностью. На территории кладбища выпилены акации, очищены  канавы от мусора, установлены контейнеры для мусора. Произведена дезинсекция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акарицидная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 обработка от клещей кладбищ  Волчино, Ольховка, </w:t>
                  </w:r>
                  <w:proofErr w:type="gramStart"/>
                  <w:r w:rsidRPr="00FA6D98">
                    <w:rPr>
                      <w:sz w:val="28"/>
                      <w:szCs w:val="28"/>
                    </w:rPr>
                    <w:t>Кочковатое</w:t>
                  </w:r>
                  <w:proofErr w:type="gramEnd"/>
                  <w:r w:rsidRPr="00FA6D98">
                    <w:rPr>
                      <w:sz w:val="28"/>
                      <w:szCs w:val="28"/>
                    </w:rPr>
                    <w:t xml:space="preserve">, Павловка, Сергеевка. Произведен демонтаж железных горок на детской площадки, несущих угрозу получения травм детьми. Частично установлен и покрашен новый забор у памятника времен Гражданской войны.  В летний период установлены новые ограждения и побелены 13 колонок. Установлены светофоры, ограждения, заменены знаки пешеходного перехода  возле школы. По улицам Молодежная, Мира, Центральная, Советская произведен ремонт заборов, а так же побелены ограждения брошенных домов и переулков. Возле многоквартирного дома демонтирован старый поваленный забор, побелены фасады подъездов. Обсыпаны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щебенью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 подъезды к мусорным площадкам по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FA6D98">
                    <w:rPr>
                      <w:sz w:val="28"/>
                      <w:szCs w:val="28"/>
                    </w:rPr>
                    <w:t>.Ц</w:t>
                  </w:r>
                  <w:proofErr w:type="gramEnd"/>
                  <w:r w:rsidRPr="00FA6D98">
                    <w:rPr>
                      <w:sz w:val="28"/>
                      <w:szCs w:val="28"/>
                    </w:rPr>
                    <w:t>ентральная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, Мира, Молодежная, Советская. Засыпана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щебенью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 и выровнена яма от поворота с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FA6D98">
                    <w:rPr>
                      <w:sz w:val="28"/>
                      <w:szCs w:val="28"/>
                    </w:rPr>
                    <w:t>.Ц</w:t>
                  </w:r>
                  <w:proofErr w:type="gramEnd"/>
                  <w:r w:rsidRPr="00FA6D98">
                    <w:rPr>
                      <w:sz w:val="28"/>
                      <w:szCs w:val="28"/>
                    </w:rPr>
                    <w:t>ентральная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ул.Зеленая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. На протяжении всего летнего периода выкашивается трава  возле памятников, брошенных домов, пустырей в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. камыши по кюветам от </w:t>
                  </w:r>
                  <w:proofErr w:type="spellStart"/>
                  <w:r w:rsidRPr="00FA6D98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FA6D98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FA6D98">
                    <w:rPr>
                      <w:sz w:val="28"/>
                      <w:szCs w:val="28"/>
                    </w:rPr>
                    <w:t>ира</w:t>
                  </w:r>
                  <w:proofErr w:type="spellEnd"/>
                  <w:r w:rsidRPr="00FA6D98">
                    <w:rPr>
                      <w:sz w:val="28"/>
                      <w:szCs w:val="28"/>
                    </w:rPr>
                    <w:t xml:space="preserve"> до центрального тока, площадь хоккейной коробки и возле уличной сцены. 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10.Раздел 0707 Молодежная политика  затраты составили  </w:t>
                  </w:r>
                  <w:r w:rsidRPr="00E70945">
                    <w:rPr>
                      <w:color w:val="000000"/>
                      <w:sz w:val="28"/>
                      <w:szCs w:val="28"/>
                    </w:rPr>
                    <w:t>5009</w:t>
                  </w:r>
                  <w:r>
                    <w:rPr>
                      <w:color w:val="000000"/>
                      <w:sz w:val="28"/>
                      <w:szCs w:val="28"/>
                    </w:rPr>
                    <w:t>,00 руб. На приобретение мячей и  питание спортсменов участвующих спортсменов в соревнованиях.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11.Раздел 0801 Культура расходы составили </w:t>
                  </w:r>
                  <w:r w:rsidRPr="00E70945">
                    <w:rPr>
                      <w:color w:val="000000"/>
                      <w:sz w:val="28"/>
                      <w:szCs w:val="28"/>
                    </w:rPr>
                    <w:t xml:space="preserve">182070,29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рублей. Основные расходы направлены на проведение праздничных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таких как  Новый год, 8 марта, День пожилого человека. На публикацию  нормативных правовых актов, объявлений в средствах массовой информации. Приобретена палатка в Сергеевский ДК для возможности представления поселения на выездных мероприятиях.</w:t>
                  </w:r>
                </w:p>
                <w:p w:rsidR="00C5193F" w:rsidRDefault="00C5193F" w:rsidP="00A1354B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12.Раздел 1102 массовый спорт расходы составили </w:t>
                  </w:r>
                  <w:r w:rsidRPr="00E70945">
                    <w:rPr>
                      <w:color w:val="000000"/>
                      <w:sz w:val="28"/>
                      <w:szCs w:val="28"/>
                    </w:rPr>
                    <w:t xml:space="preserve">15690,59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 (участие в соревнованиях спортсменов Сергеевского сельского поселения на Королева спорта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Чистово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2022г, оплата водителям заправка газелей на выезд на соревнования.</w:t>
                  </w:r>
                  <w:proofErr w:type="gramEnd"/>
                </w:p>
                <w:p w:rsidR="00C5193F" w:rsidRDefault="00C5193F" w:rsidP="00A1354B">
                  <w:pPr>
                    <w:jc w:val="both"/>
                  </w:pPr>
                </w:p>
              </w:tc>
            </w:tr>
            <w:tr w:rsidR="00C5193F" w:rsidTr="00C5193F">
              <w:tc>
                <w:tcPr>
                  <w:tcW w:w="106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93F" w:rsidRDefault="00C5193F" w:rsidP="00A1354B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193F" w:rsidRDefault="00C5193F" w:rsidP="00A1354B">
            <w:pPr>
              <w:spacing w:line="0" w:lineRule="auto"/>
            </w:pPr>
          </w:p>
        </w:tc>
      </w:tr>
    </w:tbl>
    <w:p w:rsidR="00C5193F" w:rsidRDefault="00C5193F" w:rsidP="00C5193F"/>
    <w:p w:rsidR="00C5193F" w:rsidRDefault="00C5193F" w:rsidP="00C5193F">
      <w:pPr>
        <w:ind w:right="-283"/>
      </w:pPr>
    </w:p>
    <w:sectPr w:rsidR="00C5193F" w:rsidSect="00C5193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1415"/>
    <w:multiLevelType w:val="hybridMultilevel"/>
    <w:tmpl w:val="2CE4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EA"/>
    <w:rsid w:val="002173C3"/>
    <w:rsid w:val="006A3DEA"/>
    <w:rsid w:val="00C1125F"/>
    <w:rsid w:val="00C5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2023-12-13T09:18:00Z</dcterms:created>
  <dcterms:modified xsi:type="dcterms:W3CDTF">2023-12-13T09:23:00Z</dcterms:modified>
</cp:coreProperties>
</file>